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4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firstRow="0" w:lastRow="0" w:firstColumn="0" w:lastColumn="0"/>
      </w:tblPr>
      <w:tblGrid>
        <w:gridCol w:w="4819"/>
        <w:gridCol w:w="4824"/>
      </w:tblGrid>
      <w:tr>
        <w:trPr/>
        <w:tc>
          <w:tcPr>
            <w:tcW w:w="4819" w:type="dxa"/>
            <w:tcBorders/>
            <w:shd w:color="auto" w:fill="FFFFFF" w:val="clear"/>
          </w:tcPr>
          <w:p>
            <w:pPr>
              <w:pStyle w:val="Normal1"/>
              <w:widowControl w:val="false"/>
              <w:suppressLineNumbers/>
              <w:tabs>
                <w:tab w:val="left" w:pos="2115" w:leader="none"/>
              </w:tabs>
              <w:spacing w:before="120" w:after="0"/>
              <w:rPr>
                <w:rFonts w:eastAsia="DejaVu Sans" w:cs="Times New Roman"/>
                <w:color w:val="00000A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>
              <w:rPr>
                <w:rFonts w:eastAsia="DejaVu Sans" w:cs="Times New Roman"/>
                <w:color w:val="00000A"/>
                <w:sz w:val="24"/>
                <w:szCs w:val="24"/>
                <w:lang w:eastAsia="zh-CN" w:bidi="hi-IN"/>
              </w:rPr>
              <w:t xml:space="preserve">   </w:t>
            </w:r>
          </w:p>
        </w:tc>
        <w:tc>
          <w:tcPr>
            <w:tcW w:w="4824" w:type="dxa"/>
            <w:tcBorders/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УТВЕРЖДАЮ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Управления образования Орджоникидзевского района</w:t>
              <w:br/>
              <w:t>Департамента образования</w:t>
              <w:br/>
              <w:t>Администрации г. Екатеринбурга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 Е.А. Яровикова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«___»___________________ 202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>
      <w:pPr>
        <w:pStyle w:val="Normal1"/>
        <w:tabs>
          <w:tab w:val="left" w:pos="1701" w:leader="none"/>
        </w:tabs>
        <w:ind w:firstLine="425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</w:p>
    <w:p>
      <w:pPr>
        <w:pStyle w:val="1"/>
        <w:rPr/>
      </w:pPr>
      <w:r>
        <w:rPr/>
        <w:t xml:space="preserve">Положение о </w:t>
      </w:r>
      <w:r>
        <w:rPr>
          <w:lang w:val="en-US"/>
        </w:rPr>
        <w:t>V</w:t>
      </w:r>
      <w:r>
        <w:rPr/>
        <w:t xml:space="preserve"> Открытой технической спартакиаде школьников Орджоникидзевского района      </w:t>
      </w:r>
    </w:p>
    <w:p>
      <w:pPr>
        <w:pStyle w:val="Normal"/>
        <w:jc w:val="center"/>
        <w:rPr>
          <w:rFonts w:ascii="Times New Roman" w:hAnsi="Times New Roman" w:eastAsia="SimSun" w:cs="Times New Roman"/>
          <w:sz w:val="28"/>
          <w:szCs w:val="28"/>
          <w:lang w:eastAsia="en-US"/>
        </w:rPr>
      </w:pPr>
      <w:r>
        <w:rPr>
          <w:rFonts w:eastAsia="SimSun" w:cs="Times New Roman" w:ascii="Times New Roman" w:hAnsi="Times New Roman"/>
          <w:sz w:val="28"/>
          <w:szCs w:val="28"/>
          <w:lang w:eastAsia="en-US"/>
        </w:rPr>
        <w:t>«</w:t>
      </w:r>
      <w:r>
        <w:rPr>
          <w:rFonts w:eastAsia="SimSun" w:cs="Times New Roman" w:ascii="Times New Roman" w:hAnsi="Times New Roman"/>
          <w:sz w:val="36"/>
          <w:szCs w:val="36"/>
          <w:lang w:eastAsia="en-US"/>
        </w:rPr>
        <w:t>ИнжеТех</w:t>
      </w:r>
      <w:r>
        <w:rPr>
          <w:rFonts w:eastAsia="SimSun" w:cs="Times New Roman" w:ascii="Times New Roman" w:hAnsi="Times New Roman"/>
          <w:sz w:val="28"/>
          <w:szCs w:val="28"/>
          <w:lang w:eastAsia="en-US"/>
        </w:rPr>
        <w:t>»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Открытой технической спартакиады школьников Орджоникидзевского района «ИнжеТех» на концептуальных идеях и стандартах</w:t>
      </w:r>
      <w:r>
        <w:rPr>
          <w:rFonts w:cs="Times New Roman"/>
          <w:szCs w:val="28"/>
        </w:rPr>
        <w:t xml:space="preserve"> Worldskills (далее – Спартакиада);</w:t>
      </w:r>
    </w:p>
    <w:p>
      <w:pPr>
        <w:pStyle w:val="Normal1"/>
        <w:tabs>
          <w:tab w:val="left" w:pos="1701" w:leader="none"/>
        </w:tabs>
        <w:ind w:firstLine="567"/>
        <w:rPr/>
      </w:pPr>
      <w:r>
        <w:rPr>
          <w:rFonts w:cs="Times New Roman"/>
          <w:szCs w:val="28"/>
        </w:rPr>
        <w:t>1.2. </w:t>
      </w:r>
      <w:r>
        <w:rPr>
          <w:rFonts w:cs="Times New Roman"/>
          <w:iCs/>
          <w:szCs w:val="28"/>
        </w:rPr>
        <w:t xml:space="preserve">Спартакиада </w:t>
      </w:r>
      <w:r>
        <w:rPr>
          <w:rFonts w:cs="Times New Roman"/>
          <w:szCs w:val="28"/>
        </w:rPr>
        <w:t>проводится в 2021-2022 учебном году для обучающихся 1-11 классов;</w:t>
      </w:r>
    </w:p>
    <w:p>
      <w:pPr>
        <w:pStyle w:val="Normal1"/>
        <w:tabs>
          <w:tab w:val="left" w:pos="1701" w:leader="none"/>
        </w:tabs>
        <w:ind w:firstLine="567"/>
        <w:rPr/>
      </w:pPr>
      <w:r>
        <w:rPr>
          <w:rFonts w:cs="Times New Roman"/>
          <w:szCs w:val="28"/>
        </w:rPr>
        <w:t>1.3. </w:t>
      </w:r>
      <w:r>
        <w:rPr>
          <w:rFonts w:cs="Times New Roman"/>
          <w:iCs/>
          <w:szCs w:val="28"/>
        </w:rPr>
        <w:t>Спартакиада</w:t>
      </w:r>
      <w:r>
        <w:rPr>
          <w:rFonts w:cs="Times New Roman"/>
          <w:szCs w:val="28"/>
        </w:rPr>
        <w:t xml:space="preserve"> инициируется Управлением образования Орджоникидзевского района Департамента образования Администрации города Екатеринбурга с целью создания условий для осознанного профессионального самоопределения и самореализации школьников;</w:t>
      </w:r>
    </w:p>
    <w:p>
      <w:pPr>
        <w:pStyle w:val="Normal1"/>
        <w:tabs>
          <w:tab w:val="left" w:pos="1701" w:leader="none"/>
        </w:tabs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 Организация и проведение </w:t>
      </w:r>
      <w:r>
        <w:rPr>
          <w:rFonts w:cs="Times New Roman"/>
          <w:iCs/>
          <w:szCs w:val="28"/>
        </w:rPr>
        <w:t>Спартакиады</w:t>
      </w:r>
      <w:r>
        <w:rPr>
          <w:rFonts w:cs="Times New Roman"/>
          <w:szCs w:val="28"/>
        </w:rPr>
        <w:t xml:space="preserve"> регламенти</w:t>
        <w:softHyphen/>
        <w:t>руются Федеральным Законом «Об образовании в Российской Федерации»,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 г. № 1239, настоящим Положением;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i/>
          <w:i/>
          <w:iCs/>
          <w:szCs w:val="28"/>
        </w:rPr>
      </w:pPr>
      <w:r>
        <w:rPr>
          <w:rFonts w:cs="Times New Roman"/>
          <w:szCs w:val="28"/>
        </w:rPr>
        <w:t>1.5. Организаторы отдельных этапов Спартакиады – образовательные организации Орджоникидзевского района</w:t>
      </w:r>
      <w:r>
        <w:rPr>
          <w:rFonts w:cs="Times New Roman"/>
          <w:i/>
          <w:iCs/>
          <w:szCs w:val="28"/>
        </w:rPr>
        <w:t>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2. Цели и задачи Спартакиады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szCs w:val="28"/>
        </w:rPr>
        <w:t>2.1. Цель Спартакиады</w:t>
      </w:r>
      <w:r>
        <w:rPr>
          <w:rFonts w:cs="Times New Roman"/>
          <w:iCs/>
          <w:szCs w:val="28"/>
        </w:rPr>
        <w:t xml:space="preserve"> –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 xml:space="preserve">создание благоприятных условий </w:t>
      </w:r>
      <w:r>
        <w:rPr>
          <w:rFonts w:cs="Times New Roman"/>
          <w:szCs w:val="28"/>
          <w:lang w:val="fr-FR"/>
        </w:rPr>
        <w:t>для развития интеллектуальных и творческих способностей одаренных детей</w:t>
      </w:r>
      <w:r>
        <w:rPr>
          <w:rFonts w:cs="Times New Roman"/>
          <w:szCs w:val="28"/>
        </w:rPr>
        <w:t xml:space="preserve"> в технической области, возможности для каждого школьника осваивать и применять технологические навыки из разных профессиональных сфер.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szCs w:val="28"/>
        </w:rPr>
        <w:t>2.2. Задачи:</w:t>
      </w:r>
    </w:p>
    <w:p>
      <w:pPr>
        <w:pStyle w:val="Normal1"/>
        <w:numPr>
          <w:ilvl w:val="0"/>
          <w:numId w:val="1"/>
        </w:numPr>
        <w:tabs>
          <w:tab w:val="left" w:pos="1701" w:leader="none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и поддержка одаренных обучающихся в технической области;</w:t>
      </w:r>
    </w:p>
    <w:p>
      <w:pPr>
        <w:pStyle w:val="Normal1"/>
        <w:numPr>
          <w:ilvl w:val="0"/>
          <w:numId w:val="1"/>
        </w:numPr>
        <w:tabs>
          <w:tab w:val="left" w:pos="1701" w:leader="none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мотивации школьников к изучению технических наук как основ инженерного образования;</w:t>
      </w:r>
    </w:p>
    <w:p>
      <w:pPr>
        <w:pStyle w:val="Normal1"/>
        <w:numPr>
          <w:ilvl w:val="0"/>
          <w:numId w:val="1"/>
        </w:numPr>
        <w:tabs>
          <w:tab w:val="left" w:pos="1701" w:leader="none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развитие познавательного интереса школьников;</w:t>
      </w:r>
    </w:p>
    <w:p>
      <w:pPr>
        <w:pStyle w:val="Normal1"/>
        <w:numPr>
          <w:ilvl w:val="0"/>
          <w:numId w:val="1"/>
        </w:numPr>
        <w:tabs>
          <w:tab w:val="left" w:pos="1701" w:leader="none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создание условий для личностной и командной самореализации обучающихся, направленных на организацию прикладной и творческой деятельности школьников;</w:t>
      </w:r>
    </w:p>
    <w:p>
      <w:pPr>
        <w:pStyle w:val="Normal1"/>
        <w:numPr>
          <w:ilvl w:val="0"/>
          <w:numId w:val="1"/>
        </w:numPr>
        <w:tabs>
          <w:tab w:val="left" w:pos="1701" w:leader="none"/>
        </w:tabs>
        <w:rPr/>
      </w:pPr>
      <w:r>
        <w:rPr>
          <w:rFonts w:cs="Times New Roman"/>
          <w:szCs w:val="28"/>
        </w:rPr>
        <w:t xml:space="preserve">выявление и дальнейшее сопровождение талантливых школьников по различным компетенциям. </w:t>
      </w:r>
    </w:p>
    <w:p>
      <w:pPr>
        <w:pStyle w:val="Normal1"/>
        <w:tabs>
          <w:tab w:val="left" w:pos="1701" w:leader="none"/>
        </w:tabs>
        <w:ind w:left="1145" w:hanging="0"/>
        <w:rPr>
          <w:rFonts w:cs="Times New Roman"/>
          <w:i/>
          <w:i/>
          <w:iCs/>
          <w:szCs w:val="28"/>
        </w:rPr>
      </w:pPr>
      <w:r>
        <w:rPr>
          <w:rFonts w:cs="Times New Roman"/>
          <w:i/>
          <w:iCs/>
          <w:szCs w:val="28"/>
        </w:rPr>
      </w:r>
    </w:p>
    <w:p>
      <w:pPr>
        <w:pStyle w:val="Normal1"/>
        <w:tabs>
          <w:tab w:val="left" w:pos="1701" w:leader="none"/>
        </w:tabs>
        <w:spacing w:before="119" w:after="0"/>
        <w:ind w:left="426" w:hanging="0"/>
        <w:jc w:val="left"/>
        <w:rPr/>
      </w:pPr>
      <w:r>
        <w:rPr>
          <w:rFonts w:cs="Times New Roman"/>
          <w:szCs w:val="28"/>
        </w:rPr>
        <w:t>2.3. Принципы:</w:t>
      </w:r>
      <w:r>
        <w:rPr>
          <w:rFonts w:cs="Times New Roman"/>
          <w:i/>
          <w:iCs/>
          <w:szCs w:val="28"/>
        </w:rPr>
        <w:t xml:space="preserve"> </w:t>
      </w:r>
    </w:p>
    <w:p>
      <w:pPr>
        <w:pStyle w:val="Normal"/>
        <w:numPr>
          <w:ilvl w:val="0"/>
          <w:numId w:val="1"/>
        </w:numPr>
        <w:spacing w:before="119" w:after="0"/>
        <w:rPr>
          <w:rFonts w:ascii="Times New Roman" w:hAnsi="Times New Roman" w:eastAsia="SimSun" w:cs="Times New Roman"/>
          <w:sz w:val="28"/>
          <w:szCs w:val="28"/>
          <w:lang w:eastAsia="en-US"/>
        </w:rPr>
      </w:pPr>
      <w:r>
        <w:rPr>
          <w:rFonts w:eastAsia="SimSun" w:cs="Times New Roman" w:ascii="Times New Roman" w:hAnsi="Times New Roman"/>
          <w:sz w:val="28"/>
          <w:szCs w:val="28"/>
          <w:lang w:eastAsia="en-US"/>
        </w:rPr>
        <w:t>доступность, познавательность, наглядность;</w:t>
      </w:r>
    </w:p>
    <w:p>
      <w:pPr>
        <w:pStyle w:val="Normal"/>
        <w:numPr>
          <w:ilvl w:val="0"/>
          <w:numId w:val="1"/>
        </w:numPr>
        <w:rPr>
          <w:rFonts w:ascii="Times New Roman" w:hAnsi="Times New Roman" w:eastAsia="SimSun" w:cs="Times New Roman"/>
          <w:sz w:val="28"/>
          <w:szCs w:val="28"/>
          <w:lang w:eastAsia="en-US"/>
        </w:rPr>
      </w:pPr>
      <w:r>
        <w:rPr>
          <w:rFonts w:eastAsia="SimSun" w:cs="Times New Roman" w:ascii="Times New Roman" w:hAnsi="Times New Roman"/>
          <w:sz w:val="28"/>
          <w:szCs w:val="28"/>
          <w:lang w:eastAsia="en-US"/>
        </w:rPr>
        <w:t xml:space="preserve">учет возрастных особенностей; </w:t>
      </w:r>
    </w:p>
    <w:p>
      <w:pPr>
        <w:pStyle w:val="Normal"/>
        <w:numPr>
          <w:ilvl w:val="0"/>
          <w:numId w:val="1"/>
        </w:numPr>
        <w:rPr>
          <w:rFonts w:ascii="Times New Roman" w:hAnsi="Times New Roman" w:eastAsia="SimSun" w:cs="Times New Roman"/>
          <w:sz w:val="28"/>
          <w:szCs w:val="28"/>
          <w:lang w:eastAsia="en-US"/>
        </w:rPr>
      </w:pPr>
      <w:r>
        <w:rPr>
          <w:rFonts w:eastAsia="SimSun" w:cs="Times New Roman" w:ascii="Times New Roman" w:hAnsi="Times New Roman"/>
          <w:sz w:val="28"/>
          <w:szCs w:val="28"/>
          <w:lang w:eastAsia="en-US"/>
        </w:rPr>
        <w:t xml:space="preserve">сочетание теоретической и практической деятельности; </w:t>
      </w:r>
    </w:p>
    <w:p>
      <w:pPr>
        <w:pStyle w:val="Normal"/>
        <w:numPr>
          <w:ilvl w:val="0"/>
          <w:numId w:val="1"/>
        </w:numPr>
        <w:rPr>
          <w:rFonts w:ascii="Times New Roman" w:hAnsi="Times New Roman" w:eastAsia="SimSun" w:cs="Times New Roman"/>
          <w:sz w:val="28"/>
          <w:szCs w:val="28"/>
          <w:lang w:eastAsia="en-US"/>
        </w:rPr>
      </w:pPr>
      <w:r>
        <w:rPr>
          <w:rFonts w:eastAsia="SimSun" w:cs="Times New Roman" w:ascii="Times New Roman" w:hAnsi="Times New Roman"/>
          <w:sz w:val="28"/>
          <w:szCs w:val="28"/>
          <w:lang w:eastAsia="en-US"/>
        </w:rPr>
        <w:t xml:space="preserve">усиление прикладной направленности обучения; </w:t>
      </w:r>
    </w:p>
    <w:p>
      <w:pPr>
        <w:pStyle w:val="Normal"/>
        <w:tabs>
          <w:tab w:val="left" w:pos="1701" w:leader="none"/>
        </w:tabs>
        <w:ind w:left="1145" w:hanging="0"/>
        <w:rPr>
          <w:rFonts w:ascii="Times New Roman" w:hAnsi="Times New Roman" w:eastAsia="SimSun" w:cs="Times New Roman"/>
          <w:sz w:val="28"/>
          <w:szCs w:val="28"/>
          <w:lang w:eastAsia="en-US"/>
        </w:rPr>
      </w:pPr>
      <w:r>
        <w:rPr>
          <w:rFonts w:eastAsia="SimSun" w:cs="Times New Roman" w:ascii="Times New Roman" w:hAnsi="Times New Roman"/>
          <w:sz w:val="28"/>
          <w:szCs w:val="28"/>
          <w:lang w:eastAsia="en-US"/>
        </w:rPr>
        <w:t xml:space="preserve">психологическая комфортность. 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3. Условия и порядок проведения Спартакиады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iCs/>
          <w:szCs w:val="28"/>
        </w:rPr>
        <w:t xml:space="preserve">3.1. </w:t>
      </w:r>
      <w:r>
        <w:rPr>
          <w:rFonts w:cs="Times New Roman"/>
          <w:szCs w:val="28"/>
        </w:rPr>
        <w:t>В Спартакиаде принимают участие команды обучающихся 1-11 классов образовательных организаций. Спартакиада проводится по 14 компетенциям в трех возрастных группах: 7+, 10+, 14+. Соревнования по каждой возрастной группе компетенции являются этапами Спартакиады. На отдельных этапах спартакиады могут принимать участие команды из других районов и городов Свердловской области. В общий зачет спартакиады их результаты не идут.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szCs w:val="28"/>
        </w:rPr>
        <w:t xml:space="preserve">Положения об условиях и порядке проведения соревнований по отдельным компетенциям (этапы Спартакиады), </w:t>
      </w:r>
      <w:r>
        <w:rPr>
          <w:rFonts w:cs="Times New Roman"/>
          <w:iCs/>
          <w:szCs w:val="28"/>
        </w:rPr>
        <w:t xml:space="preserve">примерные задания, перечень необходимого оборудования и материалов, </w:t>
      </w:r>
      <w:r>
        <w:rPr>
          <w:rFonts w:cs="Times New Roman"/>
          <w:szCs w:val="28"/>
        </w:rPr>
        <w:t>разрабатывают и представляют в оргкомитет Спартакиады проводящие организации в срок не позднее 20 дней до начала соревнования.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Квота команд-участников от одной образовательной организации и состав команд прописаны в Положениях о соревнованиях по каждой компетенции отдельно.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3.2. Этапы Спартакиады:</w:t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764"/>
        <w:gridCol w:w="4192"/>
        <w:gridCol w:w="29"/>
        <w:gridCol w:w="1476"/>
        <w:gridCol w:w="1394"/>
        <w:gridCol w:w="22"/>
        <w:gridCol w:w="1760"/>
      </w:tblGrid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Организатор соревнований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Машинное обучение и большие данные</w:t>
            </w:r>
          </w:p>
        </w:tc>
        <w:tc>
          <w:tcPr>
            <w:tcW w:w="1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27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Прикладная электроника (микроконтроллеры) </w:t>
            </w:r>
          </w:p>
        </w:tc>
        <w:tc>
          <w:tcPr>
            <w:tcW w:w="1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167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Прикладная электроника (микроконтроллеры)</w:t>
            </w:r>
          </w:p>
        </w:tc>
        <w:tc>
          <w:tcPr>
            <w:tcW w:w="1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167</w:t>
            </w:r>
          </w:p>
        </w:tc>
      </w:tr>
      <w:tr>
        <w:trPr>
          <w:trHeight w:val="364" w:hRule="atLeast"/>
        </w:trPr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Прототипирование </w:t>
            </w:r>
          </w:p>
        </w:tc>
        <w:tc>
          <w:tcPr>
            <w:tcW w:w="1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>
          <w:trHeight w:val="364" w:hRule="atLeast"/>
        </w:trPr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Прототипирование</w:t>
            </w:r>
          </w:p>
        </w:tc>
        <w:tc>
          <w:tcPr>
            <w:tcW w:w="15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>
          <w:trHeight w:val="364" w:hRule="atLeast"/>
        </w:trPr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Инженерный дизайн 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Инженерный дизайн 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Инженерный дизайн 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Токарные работы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114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Веб-дизайн и разработка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113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Системное администрирование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100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Фрезерные работы на станках с ЧПУ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138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Интернет вещей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117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128</w:t>
            </w:r>
          </w:p>
        </w:tc>
      </w:tr>
      <w:tr>
        <w:trPr/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Лазерные технологии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80</w:t>
            </w:r>
          </w:p>
        </w:tc>
      </w:tr>
      <w:tr>
        <w:trPr/>
        <w:tc>
          <w:tcPr>
            <w:tcW w:w="764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221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Токарные работы на станках с ЧПУ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416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ОУ 80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Normal1"/>
        <w:keepNext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Процедура подачи заявок: 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Заявки на участие в Спартакиаде подаются по установленной форме согласно Положениям соревнований по каждой компетенции.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3.4. Принимая участие в Спартакиаде, педагоги, родители (законные представители) обучающихся и обучающиеся, достигшие 14 лет,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образовательной организации, класс, дата рождения). 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Принимая участие в Спартакиаде, участники соглашаются с тем, что фото и видеосъемка на мероприятии будет проводиться без их непосредственного разрешения.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4. Определение победителей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bCs/>
          <w:szCs w:val="28"/>
        </w:rPr>
        <w:t xml:space="preserve">4.1. </w:t>
      </w:r>
      <w:r>
        <w:rPr>
          <w:rFonts w:cs="Times New Roman"/>
          <w:szCs w:val="28"/>
        </w:rPr>
        <w:t>Победитель спартакиады определяется по наименьшей сумме мест, занятых на этапах Спартакиады. В зачет идет пять лучших результатов.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szCs w:val="28"/>
        </w:rPr>
        <w:t>4.2. В случае равенства очков у двух и более команд первенство отдается команде, имеющей больше первых мест на всех этапах Спартакиады.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В случае равенства и этих показателей, первенство отдается команде, имеющей больше призовых мест на всех этапах Спартакиады.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В случае равенства и этих показателей командам присваивается одинаковое место.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szCs w:val="28"/>
        </w:rPr>
        <w:t>4.3. Порядок выявления победителей на этапах Спартакиады определяется Положением</w:t>
      </w:r>
      <w:r>
        <w:rPr>
          <w:rFonts w:cs="Times New Roman"/>
          <w:bCs/>
          <w:szCs w:val="28"/>
        </w:rPr>
        <w:t xml:space="preserve"> по отдельным компетенциям.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 Оргкомитет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5.1. Оргкомитет является основным координирующим органом по подготовке и проведению Спартакиады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5.2. Оргкомитет Спартакиады: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- ведет необходимую документацию по организации и проведению мероприятия;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- освещает ход и результаты Спартакиады на сайтах ОО Орджоникидзевского района;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- решает спорные вопросы.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szCs w:val="28"/>
        </w:rPr>
        <w:t>5.3. Состав Оргкомитета:</w:t>
      </w:r>
    </w:p>
    <w:p>
      <w:pPr>
        <w:pStyle w:val="Normal1"/>
        <w:tabs>
          <w:tab w:val="left" w:pos="1701" w:leader="none"/>
        </w:tabs>
        <w:ind w:left="708" w:firstLine="1"/>
        <w:rPr/>
      </w:pPr>
      <w:r>
        <w:rPr>
          <w:rFonts w:cs="Times New Roman"/>
          <w:szCs w:val="28"/>
        </w:rPr>
        <w:t>1. Яровикова Елена Анатольевна, начальник Управления образования Орджоникидзевского района Департамента образования Администрации города Екатеринбурга.</w:t>
      </w:r>
    </w:p>
    <w:p>
      <w:pPr>
        <w:pStyle w:val="Normal1"/>
        <w:tabs>
          <w:tab w:val="left" w:pos="1701" w:leader="none"/>
        </w:tabs>
        <w:ind w:left="708" w:firstLine="1"/>
        <w:rPr/>
      </w:pPr>
      <w:r>
        <w:rPr>
          <w:rFonts w:cs="Times New Roman"/>
          <w:szCs w:val="28"/>
        </w:rPr>
        <w:t>2. Поляков Леонид Павлович, директор МАОУ Лицей №128.</w:t>
      </w:r>
    </w:p>
    <w:p>
      <w:pPr>
        <w:pStyle w:val="Normal1"/>
        <w:tabs>
          <w:tab w:val="left" w:pos="1701" w:leader="none"/>
        </w:tabs>
        <w:ind w:left="708" w:firstLine="1"/>
        <w:rPr/>
      </w:pPr>
      <w:r>
        <w:rPr>
          <w:rFonts w:cs="Times New Roman"/>
          <w:szCs w:val="28"/>
        </w:rPr>
        <w:t xml:space="preserve">2. Лузина Зоя Николаевна, директор </w:t>
      </w:r>
      <w:r>
        <w:rPr>
          <w:rFonts w:cs="Times New Roman"/>
          <w:iCs/>
          <w:szCs w:val="28"/>
        </w:rPr>
        <w:t>МАОУ СОШ №138.</w:t>
      </w:r>
    </w:p>
    <w:p>
      <w:pPr>
        <w:pStyle w:val="Normal1"/>
        <w:tabs>
          <w:tab w:val="left" w:pos="1701" w:leader="none"/>
        </w:tabs>
        <w:ind w:left="708" w:firstLine="1"/>
        <w:rPr/>
      </w:pPr>
      <w:r>
        <w:rPr>
          <w:rFonts w:cs="Times New Roman"/>
          <w:szCs w:val="28"/>
        </w:rPr>
        <w:t xml:space="preserve">3. Корнеев Пётр Владимирович, директор </w:t>
      </w:r>
      <w:r>
        <w:rPr>
          <w:rFonts w:cs="Times New Roman"/>
          <w:iCs/>
          <w:szCs w:val="28"/>
        </w:rPr>
        <w:t>МАОУ лицей №100.</w:t>
      </w:r>
    </w:p>
    <w:p>
      <w:pPr>
        <w:pStyle w:val="Normal1"/>
        <w:tabs>
          <w:tab w:val="left" w:pos="1701" w:leader="none"/>
        </w:tabs>
        <w:ind w:left="708" w:firstLine="1"/>
        <w:rPr/>
      </w:pPr>
      <w:r>
        <w:rPr>
          <w:rFonts w:cs="Times New Roman"/>
          <w:iCs/>
          <w:szCs w:val="28"/>
        </w:rPr>
        <w:t>4. Меньшенина Жанна Михайловна, директор МАОУ СОШ № 80</w:t>
      </w:r>
    </w:p>
    <w:p>
      <w:pPr>
        <w:pStyle w:val="Normal1"/>
        <w:tabs>
          <w:tab w:val="left" w:pos="1701" w:leader="none"/>
        </w:tabs>
        <w:ind w:left="708" w:firstLine="1"/>
        <w:rPr/>
      </w:pPr>
      <w:r>
        <w:rPr>
          <w:rFonts w:cs="Times New Roman"/>
          <w:iCs/>
          <w:szCs w:val="28"/>
        </w:rPr>
        <w:t>5. Боярских Лариса Ивановна, директор МАОУ СОШ № 114.</w:t>
      </w:r>
    </w:p>
    <w:p>
      <w:pPr>
        <w:pStyle w:val="Normal1"/>
        <w:tabs>
          <w:tab w:val="left" w:pos="1701" w:leader="none"/>
        </w:tabs>
        <w:ind w:left="708" w:firstLine="1"/>
        <w:rPr/>
      </w:pPr>
      <w:r>
        <w:rPr>
          <w:rFonts w:cs="Times New Roman"/>
          <w:iCs/>
          <w:szCs w:val="28"/>
        </w:rPr>
        <w:t>6. Бабич Эльвира Александровна, директор МАОУ СОШ № 167.</w:t>
      </w:r>
    </w:p>
    <w:p>
      <w:pPr>
        <w:pStyle w:val="Normal1"/>
        <w:tabs>
          <w:tab w:val="left" w:pos="1701" w:leader="none"/>
        </w:tabs>
        <w:ind w:left="708" w:firstLine="1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7. Поляков Юрий Леонидович, директор МБОУ СОШ № 27.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 Результаты Спартакиады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6.1. Победители и призеры (1, 2, 3 место) Спартакиады награждаются дипломами и ценными призами. Остальные команды получают сертификаты участников Спартакиады. Награждение победителей и призеров на отдельных этапах проводится в соответствии с положениями по компетенциям.</w:t>
      </w:r>
    </w:p>
    <w:p>
      <w:pPr>
        <w:pStyle w:val="Normal1"/>
        <w:tabs>
          <w:tab w:val="left" w:pos="1701" w:leader="none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6.2. С результатами участия команд на этапах Спартакиады можно познакомиться на официальном сайте организаторов. </w:t>
      </w:r>
    </w:p>
    <w:p>
      <w:pPr>
        <w:pStyle w:val="Normal1"/>
        <w:tabs>
          <w:tab w:val="left" w:pos="1701" w:leader="none"/>
        </w:tabs>
        <w:ind w:firstLine="425"/>
        <w:rPr/>
      </w:pPr>
      <w:r>
        <w:rPr>
          <w:rFonts w:cs="Times New Roman"/>
          <w:szCs w:val="28"/>
        </w:rPr>
        <w:t>6.3. Апелляция и изменение результатов Спартакиады после подведения итогов не предусмотрены</w:t>
      </w:r>
      <w:r>
        <w:rPr>
          <w:rFonts w:cs="Times New Roman"/>
          <w:iCs/>
          <w:szCs w:val="28"/>
        </w:rPr>
        <w:t>.</w:t>
      </w:r>
    </w:p>
    <w:p>
      <w:pPr>
        <w:pStyle w:val="Normal1"/>
        <w:tabs>
          <w:tab w:val="left" w:pos="1701" w:leader="none"/>
        </w:tabs>
        <w:ind w:hanging="0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18" w:right="851" w:header="0" w:top="851" w:footer="284" w:bottom="851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tabs>
        <w:tab w:val="left" w:pos="1060" w:leader="none"/>
        <w:tab w:val="center" w:pos="4844" w:leader="none"/>
        <w:tab w:val="right" w:pos="9689" w:leader="none"/>
      </w:tabs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1145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0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7f72f8"/>
    <w:pPr>
      <w:keepNext/>
      <w:keepLines/>
      <w:spacing w:before="240" w:after="0"/>
      <w:jc w:val="center"/>
      <w:outlineLvl w:val="0"/>
    </w:pPr>
    <w:rPr>
      <w:rFonts w:ascii="Times New Roman" w:hAnsi="Times New Roman" w:eastAsia="" w:cs="Cambria (Headings CS)" w:eastAsiaTheme="majorEastAsia"/>
      <w:caps/>
      <w:sz w:val="32"/>
      <w:szCs w:val="32"/>
    </w:rPr>
  </w:style>
  <w:style w:type="paragraph" w:styleId="2">
    <w:name w:val="Heading 2"/>
    <w:basedOn w:val="Normal"/>
    <w:link w:val="20"/>
    <w:uiPriority w:val="9"/>
    <w:unhideWhenUsed/>
    <w:qFormat/>
    <w:rsid w:val="007f72f8"/>
    <w:pPr>
      <w:keepNext/>
      <w:keepLines/>
      <w:spacing w:before="240" w:after="0"/>
      <w:ind w:firstLine="425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1c3976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945718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945718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f72f8"/>
    <w:rPr>
      <w:rFonts w:ascii="Times New Roman" w:hAnsi="Times New Roman" w:eastAsia="" w:cs="Cambria (Headings CS)" w:eastAsiaTheme="majorEastAsia"/>
      <w:caps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f72f8"/>
    <w:rPr>
      <w:rFonts w:ascii="Cambria" w:hAnsi="Cambria" w:eastAsia="" w:cs="" w:asciiTheme="majorHAnsi" w:cstheme="majorBidi" w:eastAsiaTheme="majorEastAsia" w:hAnsiTheme="majorHAnsi"/>
      <w:b/>
      <w:sz w:val="28"/>
      <w:szCs w:val="26"/>
    </w:rPr>
  </w:style>
  <w:style w:type="character" w:styleId="Style16" w:customStyle="1">
    <w:name w:val="Символ нумерации"/>
    <w:qFormat/>
    <w:rPr/>
  </w:style>
  <w:style w:type="character" w:styleId="ListLabel1">
    <w:name w:val="ListLabel 1"/>
    <w:qFormat/>
    <w:rPr>
      <w:rFonts w:ascii="Times New Roman" w:hAnsi="Times New Roman" w:cs="Symbol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pPr>
      <w:widowControl w:val="false"/>
      <w:spacing w:lineRule="auto" w:line="276" w:before="0" w:after="140"/>
    </w:pPr>
    <w:rPr>
      <w:rFonts w:ascii="Calibri" w:hAnsi="Calibri" w:eastAsia="" w:cs="" w:asciiTheme="minorHAnsi" w:cstheme="minorBidi" w:eastAsiaTheme="minorEastAsia" w:hAnsiTheme="minorHAnsi"/>
      <w:color w:val="auto"/>
      <w:sz w:val="20"/>
      <w:szCs w:val="22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qFormat/>
    <w:pPr>
      <w:widowControl w:val="false"/>
      <w:suppressLineNumbers/>
      <w:spacing w:before="0" w:after="120"/>
    </w:pPr>
    <w:rPr>
      <w:rFonts w:cs="Mangal" w:ascii="Calibri" w:hAnsi="Calibri" w:eastAsia="" w:asciiTheme="minorHAnsi" w:eastAsiaTheme="minorEastAsia" w:hAnsiTheme="minorHAnsi"/>
      <w:i/>
      <w:iCs/>
      <w:color w:val="auto"/>
      <w:sz w:val="24"/>
      <w:szCs w:val="24"/>
      <w:lang w:val="ru-RU" w:eastAsia="ru-RU" w:bidi="ar-SA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Заголовок1"/>
    <w:qFormat/>
    <w:pPr>
      <w:keepNext/>
      <w:widowControl w:val="false"/>
      <w:spacing w:before="240" w:after="120"/>
    </w:pPr>
    <w:rPr>
      <w:rFonts w:ascii="Liberation Sans" w:hAnsi="Liberation Sans" w:eastAsia="Microsoft YaHei" w:cs="Mangal"/>
      <w:color w:val="auto"/>
      <w:sz w:val="20"/>
      <w:szCs w:val="28"/>
      <w:lang w:val="ru-RU" w:eastAsia="ru-RU" w:bidi="ar-SA"/>
    </w:rPr>
  </w:style>
  <w:style w:type="paragraph" w:styleId="13" w:customStyle="1">
    <w:name w:val="Указатель1"/>
    <w:qFormat/>
    <w:pPr>
      <w:widowControl w:val="false"/>
      <w:suppressLineNumbers/>
    </w:pPr>
    <w:rPr>
      <w:rFonts w:cs="Mangal" w:ascii="Calibri" w:hAnsi="Calibri" w:eastAsia="" w:asciiTheme="minorHAnsi" w:eastAsiaTheme="minorEastAsia" w:hAnsiTheme="minorHAnsi"/>
      <w:color w:val="auto"/>
      <w:sz w:val="20"/>
      <w:szCs w:val="22"/>
      <w:lang w:val="ru-RU" w:eastAsia="ru-RU" w:bidi="ar-SA"/>
    </w:rPr>
  </w:style>
  <w:style w:type="paragraph" w:styleId="Normal1" w:customStyle="1">
    <w:name w:val="Normal1"/>
    <w:qFormat/>
    <w:rsid w:val="007108c7"/>
    <w:pPr>
      <w:widowControl/>
      <w:bidi w:val="0"/>
      <w:spacing w:before="120" w:after="0"/>
      <w:ind w:firstLine="709"/>
      <w:jc w:val="both"/>
    </w:pPr>
    <w:rPr>
      <w:rFonts w:ascii="Times New Roman" w:hAnsi="Times New Roman" w:eastAsia="SimSun" w:cs="Calibri"/>
      <w:color w:val="auto"/>
      <w:sz w:val="28"/>
      <w:szCs w:val="22"/>
      <w:lang w:eastAsia="en-US" w:val="ru-RU" w:bidi="ar-SA"/>
    </w:rPr>
  </w:style>
  <w:style w:type="paragraph" w:styleId="NormalWeb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14" w:customStyle="1">
    <w:name w:val="Абзац списка1"/>
    <w:basedOn w:val="Normal1"/>
    <w:qFormat/>
    <w:rsid w:val="001c3976"/>
    <w:pPr>
      <w:spacing w:before="0" w:after="0"/>
      <w:ind w:left="720" w:hanging="0"/>
    </w:pPr>
    <w:rPr>
      <w:rFonts w:ascii="Calibri" w:hAnsi="Calibri" w:eastAsia="Times New Roman"/>
      <w:sz w:val="24"/>
      <w:szCs w:val="24"/>
    </w:rPr>
  </w:style>
  <w:style w:type="paragraph" w:styleId="ListParagraph">
    <w:name w:val="List Paragraph"/>
    <w:basedOn w:val="Normal1"/>
    <w:qFormat/>
    <w:rsid w:val="00ea74de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ea74de"/>
    <w:pPr>
      <w:widowControl/>
      <w:bidi w:val="0"/>
      <w:jc w:val="left"/>
    </w:pPr>
    <w:rPr>
      <w:rFonts w:eastAsia="Times New Roman" w:cs="Calibri" w:ascii="Calibri" w:hAnsi="Calibri" w:asciiTheme="minorHAnsi" w:hAnsiTheme="minorHAnsi"/>
      <w:color w:val="auto"/>
      <w:sz w:val="22"/>
      <w:szCs w:val="22"/>
      <w:lang w:val="ru-RU" w:eastAsia="ru-RU" w:bidi="ar-SA"/>
    </w:rPr>
  </w:style>
  <w:style w:type="paragraph" w:styleId="BalloonText">
    <w:name w:val="Balloon Text"/>
    <w:basedOn w:val="Normal1"/>
    <w:uiPriority w:val="99"/>
    <w:semiHidden/>
    <w:unhideWhenUsed/>
    <w:qFormat/>
    <w:rsid w:val="00ac7c28"/>
    <w:pPr>
      <w:spacing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Содержимое таблицы"/>
    <w:basedOn w:val="Normal1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4"/>
    <w:uiPriority w:val="99"/>
    <w:unhideWhenUsed/>
    <w:rsid w:val="00945718"/>
    <w:pPr>
      <w:tabs>
        <w:tab w:val="center" w:pos="4844" w:leader="none"/>
        <w:tab w:val="right" w:pos="9689" w:leader="none"/>
      </w:tabs>
    </w:pPr>
    <w:rPr/>
  </w:style>
  <w:style w:type="paragraph" w:styleId="Style27">
    <w:name w:val="Footer"/>
    <w:basedOn w:val="Normal"/>
    <w:link w:val="a6"/>
    <w:uiPriority w:val="99"/>
    <w:unhideWhenUsed/>
    <w:rsid w:val="00945718"/>
    <w:pPr>
      <w:tabs>
        <w:tab w:val="center" w:pos="4844" w:leader="none"/>
        <w:tab w:val="right" w:pos="968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F28A-203A-4C85-BEC2-A4A3DD3C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 LibreOffice_project/10m0$Build-2</Application>
  <Pages>5</Pages>
  <Words>889</Words>
  <Characters>6101</Characters>
  <CharactersWithSpaces>6836</CharactersWithSpaces>
  <Paragraphs>173</Paragraphs>
  <Company>МУ ЦРТ "Одаренность и технологии"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2021-10-15T08:35:00Z</dcterms:created>
  <dc:creator>alexander.m</dc:creator>
  <dc:description/>
  <dc:language>ru-RU</dc:language>
  <cp:lastModifiedBy/>
  <cp:lastPrinted>2020-10-13T04:24:00Z</cp:lastPrinted>
  <dcterms:modified xsi:type="dcterms:W3CDTF">2021-10-21T15:28:21Z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